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58" w:rsidRPr="000D5658" w:rsidRDefault="000D5658" w:rsidP="000D565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58">
        <w:rPr>
          <w:rFonts w:ascii="Times New Roman" w:hAnsi="Times New Roman" w:cs="Times New Roman"/>
          <w:b/>
          <w:sz w:val="24"/>
          <w:szCs w:val="24"/>
        </w:rPr>
        <w:t>Критерии оценки предложения для включения общественной территории в адресный перечень</w:t>
      </w:r>
    </w:p>
    <w:p w:rsidR="000D5658" w:rsidRPr="000D5658" w:rsidRDefault="000D5658" w:rsidP="000D5658">
      <w:pPr>
        <w:widowControl w:val="0"/>
        <w:ind w:firstLine="709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0D5658" w:rsidRPr="000D5658" w:rsidRDefault="000D5658" w:rsidP="000D5658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Pr="000D5658">
        <w:rPr>
          <w:rFonts w:ascii="Times New Roman" w:hAnsi="Times New Roman" w:cs="Times New Roman"/>
          <w:snapToGrid w:val="0"/>
          <w:sz w:val="24"/>
          <w:szCs w:val="24"/>
        </w:rPr>
        <w:t>1. Максимальное количество баллов, присваиваемых Заявке по каждому критерию, представлено в таблице 1:</w:t>
      </w:r>
    </w:p>
    <w:p w:rsidR="000D5658" w:rsidRPr="000D5658" w:rsidRDefault="000D5658" w:rsidP="000D5658">
      <w:pPr>
        <w:jc w:val="right"/>
        <w:rPr>
          <w:rFonts w:ascii="Times New Roman" w:hAnsi="Times New Roman" w:cs="Times New Roman"/>
          <w:sz w:val="24"/>
          <w:szCs w:val="24"/>
        </w:rPr>
      </w:pPr>
      <w:r w:rsidRPr="000D5658">
        <w:rPr>
          <w:rFonts w:ascii="Times New Roman" w:hAnsi="Times New Roman" w:cs="Times New Roman"/>
          <w:sz w:val="24"/>
          <w:szCs w:val="24"/>
        </w:rPr>
        <w:t>Таблица 1</w:t>
      </w:r>
    </w:p>
    <w:p w:rsidR="000D5658" w:rsidRPr="000D5658" w:rsidRDefault="000D5658" w:rsidP="000D5658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5658">
        <w:rPr>
          <w:rFonts w:ascii="Times New Roman" w:hAnsi="Times New Roman" w:cs="Times New Roman"/>
          <w:sz w:val="24"/>
          <w:szCs w:val="24"/>
        </w:rPr>
        <w:t xml:space="preserve">Критерии оценки предложения для включения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0D5658">
        <w:rPr>
          <w:rFonts w:ascii="Times New Roman" w:hAnsi="Times New Roman" w:cs="Times New Roman"/>
          <w:sz w:val="24"/>
          <w:szCs w:val="24"/>
        </w:rPr>
        <w:t>территории общего пользования в адресный перечень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3119"/>
      </w:tblGrid>
      <w:tr w:rsidR="000D5658" w:rsidRPr="000D5658" w:rsidTr="000D5658">
        <w:tc>
          <w:tcPr>
            <w:tcW w:w="959" w:type="dxa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119" w:type="dxa"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0D5658" w:rsidRPr="000D5658" w:rsidTr="000D5658">
        <w:tc>
          <w:tcPr>
            <w:tcW w:w="959" w:type="dxa"/>
            <w:vMerge w:val="restart"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Наличие проектно-сметной документации на благоустройство общественной территории в соответствии с перечнями видов работ, установленных нормативными правовыми актами Забайкальского края и городского поселения «</w:t>
            </w:r>
            <w:proofErr w:type="spellStart"/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658" w:rsidRPr="000D5658" w:rsidTr="000D5658">
        <w:tc>
          <w:tcPr>
            <w:tcW w:w="959" w:type="dxa"/>
            <w:vMerge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наличие проектно-сметной документации</w:t>
            </w:r>
          </w:p>
        </w:tc>
        <w:tc>
          <w:tcPr>
            <w:tcW w:w="3119" w:type="dxa"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658" w:rsidRPr="000D5658" w:rsidTr="000D5658">
        <w:tc>
          <w:tcPr>
            <w:tcW w:w="959" w:type="dxa"/>
            <w:vMerge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отсутствие проектно-сметной документации</w:t>
            </w:r>
          </w:p>
        </w:tc>
        <w:tc>
          <w:tcPr>
            <w:tcW w:w="3119" w:type="dxa"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658" w:rsidRPr="000D5658" w:rsidTr="000D5658">
        <w:tc>
          <w:tcPr>
            <w:tcW w:w="959" w:type="dxa"/>
            <w:vMerge w:val="restart"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Наличие согласования проектно-сметной документации на благоустройство общественной территории, профильными специалистами</w:t>
            </w:r>
          </w:p>
        </w:tc>
      </w:tr>
      <w:tr w:rsidR="000D5658" w:rsidRPr="000D5658" w:rsidTr="000D5658">
        <w:tc>
          <w:tcPr>
            <w:tcW w:w="959" w:type="dxa"/>
            <w:vMerge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наличие согласования</w:t>
            </w:r>
          </w:p>
        </w:tc>
        <w:tc>
          <w:tcPr>
            <w:tcW w:w="3119" w:type="dxa"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658" w:rsidRPr="000D5658" w:rsidTr="000D5658">
        <w:tc>
          <w:tcPr>
            <w:tcW w:w="959" w:type="dxa"/>
            <w:vMerge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отсутствие согласования</w:t>
            </w:r>
          </w:p>
        </w:tc>
        <w:tc>
          <w:tcPr>
            <w:tcW w:w="3119" w:type="dxa"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658" w:rsidRPr="000D5658" w:rsidTr="000D5658">
        <w:tc>
          <w:tcPr>
            <w:tcW w:w="959" w:type="dxa"/>
            <w:vMerge w:val="restart"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наполнение благоустраиваемых пространств (возможность проведения различных </w:t>
            </w:r>
            <w:proofErr w:type="spellStart"/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, спортивных, культурных мероприятий)</w:t>
            </w:r>
          </w:p>
        </w:tc>
      </w:tr>
      <w:tr w:rsidR="000D5658" w:rsidRPr="000D5658" w:rsidTr="000D5658">
        <w:tc>
          <w:tcPr>
            <w:tcW w:w="959" w:type="dxa"/>
            <w:vMerge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Наличие возможности</w:t>
            </w:r>
          </w:p>
        </w:tc>
        <w:tc>
          <w:tcPr>
            <w:tcW w:w="3119" w:type="dxa"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658" w:rsidRPr="000D5658" w:rsidTr="000D5658">
        <w:tc>
          <w:tcPr>
            <w:tcW w:w="959" w:type="dxa"/>
            <w:vMerge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</w:t>
            </w:r>
          </w:p>
        </w:tc>
        <w:tc>
          <w:tcPr>
            <w:tcW w:w="3119" w:type="dxa"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658" w:rsidRPr="000D5658" w:rsidTr="000D5658">
        <w:tc>
          <w:tcPr>
            <w:tcW w:w="959" w:type="dxa"/>
            <w:vMerge w:val="restart"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массовых мероприятий на предлагаемой территории </w:t>
            </w:r>
            <w:proofErr w:type="gramStart"/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D565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12 месяцев</w:t>
            </w:r>
          </w:p>
        </w:tc>
      </w:tr>
      <w:tr w:rsidR="000D5658" w:rsidRPr="000D5658" w:rsidTr="000D5658">
        <w:trPr>
          <w:trHeight w:val="1000"/>
        </w:trPr>
        <w:tc>
          <w:tcPr>
            <w:tcW w:w="959" w:type="dxa"/>
            <w:vMerge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3119" w:type="dxa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Баллы присваиваются в количестве 0,5 балла за каждое мероприятие</w:t>
            </w:r>
          </w:p>
        </w:tc>
      </w:tr>
      <w:tr w:rsidR="000D5658" w:rsidRPr="000D5658" w:rsidTr="000D5658">
        <w:tc>
          <w:tcPr>
            <w:tcW w:w="959" w:type="dxa"/>
            <w:vMerge w:val="restart"/>
            <w:shd w:val="clear" w:color="auto" w:fill="auto"/>
          </w:tcPr>
          <w:p w:rsidR="000D5658" w:rsidRPr="000D5658" w:rsidRDefault="000D5658" w:rsidP="001B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доступности для </w:t>
            </w:r>
            <w:proofErr w:type="spellStart"/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D5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0D5658" w:rsidRPr="000D5658" w:rsidTr="000D5658">
        <w:tc>
          <w:tcPr>
            <w:tcW w:w="959" w:type="dxa"/>
            <w:vMerge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Соблюдение норм</w:t>
            </w:r>
          </w:p>
        </w:tc>
        <w:tc>
          <w:tcPr>
            <w:tcW w:w="3119" w:type="dxa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658" w:rsidRPr="000D5658" w:rsidTr="000D5658">
        <w:tc>
          <w:tcPr>
            <w:tcW w:w="959" w:type="dxa"/>
            <w:vMerge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Несоблюдение норм</w:t>
            </w:r>
          </w:p>
        </w:tc>
        <w:tc>
          <w:tcPr>
            <w:tcW w:w="3119" w:type="dxa"/>
            <w:shd w:val="clear" w:color="auto" w:fill="auto"/>
          </w:tcPr>
          <w:p w:rsidR="000D5658" w:rsidRPr="000D5658" w:rsidRDefault="000D5658" w:rsidP="001B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4AAE" w:rsidRDefault="00284AAE" w:rsidP="000D5658"/>
    <w:sectPr w:rsidR="0028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37FE"/>
    <w:multiLevelType w:val="hybridMultilevel"/>
    <w:tmpl w:val="1B90D498"/>
    <w:lvl w:ilvl="0" w:tplc="12FE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658"/>
    <w:rsid w:val="000D5658"/>
    <w:rsid w:val="0028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2017-11-02T00:20:00Z</cp:lastPrinted>
  <dcterms:created xsi:type="dcterms:W3CDTF">2017-11-02T00:17:00Z</dcterms:created>
  <dcterms:modified xsi:type="dcterms:W3CDTF">2017-11-02T00:20:00Z</dcterms:modified>
</cp:coreProperties>
</file>